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D0" w:rsidRPr="00362906" w:rsidRDefault="004443D0" w:rsidP="004443D0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4</w:t>
      </w:r>
    </w:p>
    <w:p w:rsidR="004443D0" w:rsidRPr="00362906" w:rsidRDefault="004443D0" w:rsidP="004443D0">
      <w:pPr>
        <w:spacing w:before="0" w:beforeAutospacing="0" w:after="0" w:afterAutospacing="0"/>
        <w:ind w:firstLine="34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к настоящей учетной политике НЦПИ </w:t>
      </w:r>
    </w:p>
    <w:p w:rsidR="004443D0" w:rsidRPr="00362906" w:rsidRDefault="004443D0" w:rsidP="004443D0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для целей бухгалтерского учета</w:t>
      </w:r>
    </w:p>
    <w:p w:rsidR="0074271A" w:rsidRPr="004443D0" w:rsidRDefault="0074271A" w:rsidP="004443D0">
      <w:pPr>
        <w:jc w:val="right"/>
        <w:rPr>
          <w:rFonts w:hAnsi="Times New Roman" w:cs="Times New Roman"/>
          <w:color w:val="000000"/>
          <w:sz w:val="28"/>
          <w:szCs w:val="28"/>
          <w:lang w:val="ru"/>
        </w:rPr>
      </w:pPr>
    </w:p>
    <w:p w:rsidR="0074271A" w:rsidRPr="00AA0DC4" w:rsidRDefault="00AA0DC4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Порядок принятия обязательств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ств пр</w:t>
      </w:r>
      <w:proofErr w:type="gramEnd"/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ошлых лет.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AA0DC4">
        <w:rPr>
          <w:sz w:val="28"/>
          <w:szCs w:val="28"/>
          <w:lang w:val="ru-RU"/>
        </w:rPr>
        <w:br/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отпусков, по претензионным требованиям и искам, на ремонт основных средств и т. д.).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2. Принятие к учету принимаемых обязательств осуществляется на основании: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извещения об осуществлении закупки – </w:t>
      </w:r>
      <w:proofErr w:type="gramStart"/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с даты размещения</w:t>
      </w:r>
      <w:proofErr w:type="gramEnd"/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 в ЕИС в сфере закупок;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74271A" w:rsidRPr="004443D0" w:rsidRDefault="00AA0DC4" w:rsidP="000C6F3A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4443D0">
        <w:rPr>
          <w:rFonts w:hAnsi="Times New Roman" w:cs="Times New Roman"/>
          <w:color w:val="000000"/>
          <w:sz w:val="28"/>
          <w:szCs w:val="28"/>
          <w:lang w:val="ru-RU"/>
        </w:rPr>
        <w:t>Суммы ранее принятых обязательств подлежат корректировке: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</w:t>
      </w:r>
      <w:bookmarkStart w:id="0" w:name="_GoBack"/>
      <w:bookmarkEnd w:id="0"/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  <w:proofErr w:type="gramEnd"/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74271A" w:rsidRPr="00AA0DC4" w:rsidRDefault="00AA0DC4" w:rsidP="004443D0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3. Денежные обязательства отражаются в учете не ранее принятия расходных обязательств.</w:t>
      </w:r>
      <w:r w:rsidRPr="00AA0DC4">
        <w:rPr>
          <w:rFonts w:hAnsi="Times New Roman" w:cs="Times New Roman"/>
          <w:color w:val="000000"/>
          <w:sz w:val="28"/>
          <w:szCs w:val="28"/>
        </w:rPr>
        <w:t> 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4. Принятые обязательства отражаются в журнале регистрации обязательств (ф. 0504064).</w:t>
      </w:r>
    </w:p>
    <w:p w:rsidR="0074271A" w:rsidRPr="00AA0DC4" w:rsidRDefault="00AA0DC4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 w:rsidRPr="00AA0DC4">
        <w:rPr>
          <w:rFonts w:hAnsi="Times New Roman" w:cs="Times New Roman"/>
          <w:color w:val="000000"/>
          <w:sz w:val="28"/>
          <w:szCs w:val="28"/>
        </w:rPr>
        <w:t> 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74271A" w:rsidRPr="00AA0DC4" w:rsidRDefault="0074271A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74271A" w:rsidRPr="00AA0DC4" w:rsidRDefault="0074271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4271A" w:rsidRPr="00AA0DC4" w:rsidSect="004443D0">
      <w:pgSz w:w="11907" w:h="16839"/>
      <w:pgMar w:top="1135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633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2D5F9C"/>
    <w:multiLevelType w:val="hybridMultilevel"/>
    <w:tmpl w:val="79B8E3CC"/>
    <w:lvl w:ilvl="0" w:tplc="B170C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F58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C6F3A"/>
    <w:rsid w:val="002D33B1"/>
    <w:rsid w:val="002D3591"/>
    <w:rsid w:val="003514A0"/>
    <w:rsid w:val="004443D0"/>
    <w:rsid w:val="004F7E17"/>
    <w:rsid w:val="005A05CE"/>
    <w:rsid w:val="00653AF6"/>
    <w:rsid w:val="0074271A"/>
    <w:rsid w:val="00AA0DC4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4443D0"/>
    <w:pPr>
      <w:spacing w:before="0" w:beforeAutospacing="0" w:after="200" w:afterAutospacing="0" w:line="276" w:lineRule="auto"/>
      <w:ind w:firstLine="420"/>
      <w:jc w:val="both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4443D0"/>
    <w:pPr>
      <w:spacing w:before="0" w:beforeAutospacing="0" w:after="200" w:afterAutospacing="0" w:line="276" w:lineRule="auto"/>
      <w:ind w:firstLine="420"/>
      <w:jc w:val="both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Устинова Татьяна Васильевна</cp:lastModifiedBy>
  <cp:revision>4</cp:revision>
  <dcterms:created xsi:type="dcterms:W3CDTF">2011-11-02T04:15:00Z</dcterms:created>
  <dcterms:modified xsi:type="dcterms:W3CDTF">2024-10-25T08:45:00Z</dcterms:modified>
</cp:coreProperties>
</file>